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6C132" w14:textId="7C002DFA" w:rsidR="00BE67E7" w:rsidRDefault="00BE67E7"/>
    <w:p w14:paraId="2DF0C2E9" w14:textId="08723E7D" w:rsidR="00CD27CF" w:rsidRDefault="00CD27CF"/>
    <w:p w14:paraId="21D3ECB9" w14:textId="5A2D283B" w:rsidR="00CD27CF" w:rsidRDefault="00CD27CF"/>
    <w:p w14:paraId="116D5406" w14:textId="2A3D35EF" w:rsidR="00CD27CF" w:rsidRDefault="00CD27CF"/>
    <w:p w14:paraId="094ADDCE" w14:textId="182BE25C" w:rsidR="00CD27CF" w:rsidRDefault="00CD27CF"/>
    <w:p w14:paraId="66979193" w14:textId="5FB8B068" w:rsidR="00CD27CF" w:rsidRDefault="00CD27CF"/>
    <w:p w14:paraId="4B547739" w14:textId="48703099" w:rsidR="00CD27CF" w:rsidRPr="00CD27CF" w:rsidRDefault="00CD27CF" w:rsidP="00CD27CF">
      <w:pPr>
        <w:jc w:val="center"/>
        <w:rPr>
          <w:rFonts w:ascii="Times New Roman" w:hAnsi="Times New Roman" w:cs="Times New Roman"/>
          <w:sz w:val="24"/>
          <w:szCs w:val="24"/>
        </w:rPr>
      </w:pPr>
      <w:r w:rsidRPr="00CD27CF">
        <w:rPr>
          <w:rFonts w:ascii="Times New Roman" w:hAnsi="Times New Roman" w:cs="Times New Roman"/>
          <w:sz w:val="24"/>
          <w:szCs w:val="24"/>
        </w:rPr>
        <w:t>Annotated Bibliography:</w:t>
      </w:r>
    </w:p>
    <w:p w14:paraId="1305315B" w14:textId="6428F0A6" w:rsidR="00CD27CF" w:rsidRDefault="00CD27CF" w:rsidP="00CD27CF">
      <w:pPr>
        <w:jc w:val="center"/>
        <w:rPr>
          <w:rFonts w:ascii="Times New Roman" w:hAnsi="Times New Roman" w:cs="Times New Roman"/>
          <w:sz w:val="24"/>
          <w:szCs w:val="24"/>
        </w:rPr>
      </w:pPr>
      <w:r w:rsidRPr="00CD27CF">
        <w:rPr>
          <w:rFonts w:ascii="Times New Roman" w:hAnsi="Times New Roman" w:cs="Times New Roman"/>
          <w:sz w:val="24"/>
          <w:szCs w:val="24"/>
        </w:rPr>
        <w:t>Falasha’s</w:t>
      </w:r>
    </w:p>
    <w:p w14:paraId="5E8BDF40" w14:textId="3700925C" w:rsidR="00CD27CF" w:rsidRDefault="00CD27CF">
      <w:pPr>
        <w:rPr>
          <w:rFonts w:ascii="Times New Roman" w:hAnsi="Times New Roman" w:cs="Times New Roman"/>
          <w:sz w:val="24"/>
          <w:szCs w:val="24"/>
        </w:rPr>
      </w:pPr>
    </w:p>
    <w:p w14:paraId="2BFBB3C8" w14:textId="722CC9C2" w:rsidR="00CD27CF" w:rsidRDefault="00CD27CF">
      <w:pPr>
        <w:rPr>
          <w:rFonts w:ascii="Times New Roman" w:hAnsi="Times New Roman" w:cs="Times New Roman"/>
          <w:sz w:val="24"/>
          <w:szCs w:val="24"/>
        </w:rPr>
      </w:pPr>
    </w:p>
    <w:p w14:paraId="3B4509F8" w14:textId="629C378C" w:rsidR="00CD27CF" w:rsidRDefault="00CD27CF">
      <w:pPr>
        <w:rPr>
          <w:rFonts w:ascii="Times New Roman" w:hAnsi="Times New Roman" w:cs="Times New Roman"/>
          <w:sz w:val="24"/>
          <w:szCs w:val="24"/>
        </w:rPr>
      </w:pPr>
    </w:p>
    <w:p w14:paraId="1E0BE881" w14:textId="49E34CE4" w:rsidR="00CD27CF" w:rsidRDefault="00CD27CF">
      <w:pPr>
        <w:rPr>
          <w:rFonts w:ascii="Times New Roman" w:hAnsi="Times New Roman" w:cs="Times New Roman"/>
          <w:sz w:val="24"/>
          <w:szCs w:val="24"/>
        </w:rPr>
      </w:pPr>
    </w:p>
    <w:p w14:paraId="3009B13A" w14:textId="7EE0D535" w:rsidR="00CD27CF" w:rsidRDefault="00CD27CF">
      <w:pPr>
        <w:rPr>
          <w:rFonts w:ascii="Times New Roman" w:hAnsi="Times New Roman" w:cs="Times New Roman"/>
          <w:sz w:val="24"/>
          <w:szCs w:val="24"/>
        </w:rPr>
      </w:pPr>
    </w:p>
    <w:p w14:paraId="12605BFA" w14:textId="15B533E7" w:rsidR="00CD27CF" w:rsidRDefault="00CD27CF">
      <w:pPr>
        <w:rPr>
          <w:rFonts w:ascii="Times New Roman" w:hAnsi="Times New Roman" w:cs="Times New Roman"/>
          <w:sz w:val="24"/>
          <w:szCs w:val="24"/>
        </w:rPr>
      </w:pPr>
    </w:p>
    <w:p w14:paraId="6394F397" w14:textId="6451DD6B" w:rsidR="00CD27CF" w:rsidRDefault="00CD27CF">
      <w:pPr>
        <w:rPr>
          <w:rFonts w:ascii="Times New Roman" w:hAnsi="Times New Roman" w:cs="Times New Roman"/>
          <w:sz w:val="24"/>
          <w:szCs w:val="24"/>
        </w:rPr>
      </w:pPr>
    </w:p>
    <w:p w14:paraId="33A82B7D" w14:textId="5599172D" w:rsidR="00CD27CF" w:rsidRDefault="00CD27CF">
      <w:pPr>
        <w:rPr>
          <w:rFonts w:ascii="Times New Roman" w:hAnsi="Times New Roman" w:cs="Times New Roman"/>
          <w:sz w:val="24"/>
          <w:szCs w:val="24"/>
        </w:rPr>
      </w:pPr>
    </w:p>
    <w:p w14:paraId="6D1AFF19" w14:textId="3FB9558C" w:rsidR="00CD27CF" w:rsidRDefault="00CD27CF">
      <w:pPr>
        <w:rPr>
          <w:rFonts w:ascii="Times New Roman" w:hAnsi="Times New Roman" w:cs="Times New Roman"/>
          <w:sz w:val="24"/>
          <w:szCs w:val="24"/>
        </w:rPr>
      </w:pPr>
    </w:p>
    <w:p w14:paraId="4413B240" w14:textId="42AA2BA6" w:rsidR="00CD27CF" w:rsidRDefault="00CD27CF">
      <w:pPr>
        <w:rPr>
          <w:rFonts w:ascii="Times New Roman" w:hAnsi="Times New Roman" w:cs="Times New Roman"/>
          <w:sz w:val="24"/>
          <w:szCs w:val="24"/>
        </w:rPr>
      </w:pPr>
    </w:p>
    <w:p w14:paraId="15595673" w14:textId="1F5636C5" w:rsidR="00CD27CF" w:rsidRDefault="00CD27CF">
      <w:pPr>
        <w:rPr>
          <w:rFonts w:ascii="Times New Roman" w:hAnsi="Times New Roman" w:cs="Times New Roman"/>
          <w:sz w:val="24"/>
          <w:szCs w:val="24"/>
        </w:rPr>
      </w:pPr>
    </w:p>
    <w:p w14:paraId="41A5AF9F" w14:textId="0C4F3FA1" w:rsidR="00CD27CF" w:rsidRDefault="00CD27CF">
      <w:pPr>
        <w:rPr>
          <w:rFonts w:ascii="Times New Roman" w:hAnsi="Times New Roman" w:cs="Times New Roman"/>
          <w:sz w:val="24"/>
          <w:szCs w:val="24"/>
        </w:rPr>
      </w:pPr>
    </w:p>
    <w:p w14:paraId="5748C74C" w14:textId="5FED0925" w:rsidR="00CD27CF" w:rsidRDefault="00CD27CF" w:rsidP="00CD27CF">
      <w:pPr>
        <w:jc w:val="center"/>
        <w:rPr>
          <w:rFonts w:ascii="Times New Roman" w:hAnsi="Times New Roman" w:cs="Times New Roman"/>
          <w:sz w:val="24"/>
          <w:szCs w:val="24"/>
        </w:rPr>
      </w:pPr>
      <w:r>
        <w:rPr>
          <w:rFonts w:ascii="Times New Roman" w:hAnsi="Times New Roman" w:cs="Times New Roman"/>
          <w:sz w:val="24"/>
          <w:szCs w:val="24"/>
        </w:rPr>
        <w:t>Students Name</w:t>
      </w:r>
    </w:p>
    <w:p w14:paraId="2384AF9A" w14:textId="7A86B4A4" w:rsidR="00CD27CF" w:rsidRDefault="00CD27CF" w:rsidP="00CD27CF">
      <w:pPr>
        <w:jc w:val="center"/>
        <w:rPr>
          <w:rFonts w:ascii="Times New Roman" w:hAnsi="Times New Roman" w:cs="Times New Roman"/>
          <w:sz w:val="24"/>
          <w:szCs w:val="24"/>
        </w:rPr>
      </w:pPr>
      <w:r>
        <w:rPr>
          <w:rFonts w:ascii="Times New Roman" w:hAnsi="Times New Roman" w:cs="Times New Roman"/>
          <w:sz w:val="24"/>
          <w:szCs w:val="24"/>
        </w:rPr>
        <w:t>Professors Name</w:t>
      </w:r>
    </w:p>
    <w:p w14:paraId="1CCCECD8" w14:textId="0F5E3A24" w:rsidR="00CD27CF" w:rsidRDefault="00CD27CF" w:rsidP="00CD27CF">
      <w:pPr>
        <w:jc w:val="center"/>
        <w:rPr>
          <w:rFonts w:ascii="Times New Roman" w:hAnsi="Times New Roman" w:cs="Times New Roman"/>
          <w:sz w:val="24"/>
          <w:szCs w:val="24"/>
        </w:rPr>
      </w:pPr>
      <w:r>
        <w:rPr>
          <w:rFonts w:ascii="Times New Roman" w:hAnsi="Times New Roman" w:cs="Times New Roman"/>
          <w:sz w:val="24"/>
          <w:szCs w:val="24"/>
        </w:rPr>
        <w:t>Course</w:t>
      </w:r>
    </w:p>
    <w:p w14:paraId="2CE94169" w14:textId="11A4EAE5" w:rsidR="00CD27CF" w:rsidRDefault="00CD27CF" w:rsidP="00CD27CF">
      <w:pPr>
        <w:jc w:val="center"/>
        <w:rPr>
          <w:rFonts w:ascii="Times New Roman" w:hAnsi="Times New Roman" w:cs="Times New Roman"/>
          <w:sz w:val="24"/>
          <w:szCs w:val="24"/>
        </w:rPr>
      </w:pPr>
      <w:r>
        <w:rPr>
          <w:rFonts w:ascii="Times New Roman" w:hAnsi="Times New Roman" w:cs="Times New Roman"/>
          <w:sz w:val="24"/>
          <w:szCs w:val="24"/>
        </w:rPr>
        <w:t>Date Submitted</w:t>
      </w:r>
    </w:p>
    <w:p w14:paraId="7ED41DD1" w14:textId="2A88D7D5" w:rsidR="00CD27CF" w:rsidRDefault="00CD27CF" w:rsidP="00CD27CF">
      <w:pPr>
        <w:jc w:val="center"/>
        <w:rPr>
          <w:rFonts w:ascii="Times New Roman" w:hAnsi="Times New Roman" w:cs="Times New Roman"/>
          <w:sz w:val="24"/>
          <w:szCs w:val="24"/>
        </w:rPr>
      </w:pPr>
    </w:p>
    <w:p w14:paraId="5ECCD86D" w14:textId="7397A376" w:rsidR="00CD27CF" w:rsidRDefault="00CD27CF" w:rsidP="00CD27CF">
      <w:pPr>
        <w:jc w:val="center"/>
        <w:rPr>
          <w:rFonts w:ascii="Times New Roman" w:hAnsi="Times New Roman" w:cs="Times New Roman"/>
          <w:sz w:val="24"/>
          <w:szCs w:val="24"/>
        </w:rPr>
      </w:pPr>
    </w:p>
    <w:p w14:paraId="1B66EC37" w14:textId="5680C7AE" w:rsidR="00CD27CF" w:rsidRDefault="00CD27CF" w:rsidP="00CD27CF">
      <w:pPr>
        <w:jc w:val="center"/>
        <w:rPr>
          <w:rFonts w:ascii="Times New Roman" w:hAnsi="Times New Roman" w:cs="Times New Roman"/>
          <w:sz w:val="24"/>
          <w:szCs w:val="24"/>
        </w:rPr>
      </w:pPr>
    </w:p>
    <w:p w14:paraId="257945EA" w14:textId="387BE478" w:rsidR="00CD27CF" w:rsidRDefault="00CD27CF" w:rsidP="00CD27CF">
      <w:pPr>
        <w:jc w:val="center"/>
        <w:rPr>
          <w:rFonts w:ascii="Times New Roman" w:hAnsi="Times New Roman" w:cs="Times New Roman"/>
          <w:sz w:val="24"/>
          <w:szCs w:val="24"/>
        </w:rPr>
      </w:pPr>
    </w:p>
    <w:p w14:paraId="0833EF94" w14:textId="6B258805" w:rsidR="00CD27CF" w:rsidRPr="00C336CE" w:rsidRDefault="00C336CE" w:rsidP="00C336CE">
      <w:pPr>
        <w:jc w:val="center"/>
        <w:rPr>
          <w:rFonts w:ascii="Times New Roman" w:hAnsi="Times New Roman" w:cs="Times New Roman"/>
          <w:b/>
          <w:bCs/>
          <w:sz w:val="24"/>
          <w:szCs w:val="24"/>
        </w:rPr>
      </w:pPr>
      <w:r w:rsidRPr="00C336CE">
        <w:rPr>
          <w:rFonts w:ascii="Times New Roman" w:hAnsi="Times New Roman" w:cs="Times New Roman"/>
          <w:b/>
          <w:bCs/>
          <w:sz w:val="24"/>
          <w:szCs w:val="24"/>
        </w:rPr>
        <w:lastRenderedPageBreak/>
        <w:t xml:space="preserve">The </w:t>
      </w:r>
      <w:r w:rsidR="00F074E8" w:rsidRPr="00C336CE">
        <w:rPr>
          <w:rFonts w:ascii="Times New Roman" w:hAnsi="Times New Roman" w:cs="Times New Roman"/>
          <w:b/>
          <w:bCs/>
          <w:sz w:val="24"/>
          <w:szCs w:val="24"/>
        </w:rPr>
        <w:t>Falasha’s</w:t>
      </w:r>
      <w:r w:rsidRPr="00C336CE">
        <w:rPr>
          <w:rFonts w:ascii="Times New Roman" w:hAnsi="Times New Roman" w:cs="Times New Roman"/>
          <w:b/>
          <w:bCs/>
          <w:sz w:val="24"/>
          <w:szCs w:val="24"/>
        </w:rPr>
        <w:t>: A Short History of the Ethiopian Jews- David Kessler</w:t>
      </w:r>
    </w:p>
    <w:p w14:paraId="7FE5E1AE" w14:textId="2FF4C765" w:rsidR="00CD27CF" w:rsidRDefault="00C336CE" w:rsidP="00C336CE">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In his book, David Kesler intends to eliminate the myths that prevail about the Ethiopian Jews, which he attributes to scholarly works by various authors. </w:t>
      </w:r>
      <w:r w:rsidR="002E5EA0">
        <w:rPr>
          <w:rFonts w:ascii="Times New Roman" w:hAnsi="Times New Roman" w:cs="Times New Roman"/>
          <w:sz w:val="24"/>
          <w:szCs w:val="24"/>
        </w:rPr>
        <w:t>However, his main task in the scholarly work is to trace the history of the lost Ethiopian Jews, from their original homeland</w:t>
      </w:r>
      <w:r w:rsidR="00730434">
        <w:rPr>
          <w:rFonts w:ascii="Times New Roman" w:hAnsi="Times New Roman" w:cs="Times New Roman"/>
          <w:sz w:val="24"/>
          <w:szCs w:val="24"/>
        </w:rPr>
        <w:t>, Ethiopia,</w:t>
      </w:r>
      <w:r w:rsidR="002E5EA0">
        <w:rPr>
          <w:rFonts w:ascii="Times New Roman" w:hAnsi="Times New Roman" w:cs="Times New Roman"/>
          <w:sz w:val="24"/>
          <w:szCs w:val="24"/>
        </w:rPr>
        <w:t xml:space="preserve"> to their new nation, Israel. </w:t>
      </w:r>
    </w:p>
    <w:p w14:paraId="1038572D" w14:textId="4F8FE4FD" w:rsidR="00730434" w:rsidRPr="00C336CE" w:rsidRDefault="002E5EA0" w:rsidP="00C336CE">
      <w:pPr>
        <w:spacing w:line="480" w:lineRule="auto"/>
        <w:rPr>
          <w:rFonts w:ascii="Times New Roman" w:hAnsi="Times New Roman" w:cs="Times New Roman"/>
          <w:sz w:val="24"/>
          <w:szCs w:val="24"/>
        </w:rPr>
      </w:pPr>
      <w:r>
        <w:rPr>
          <w:rFonts w:ascii="Times New Roman" w:hAnsi="Times New Roman" w:cs="Times New Roman"/>
          <w:sz w:val="24"/>
          <w:szCs w:val="24"/>
        </w:rPr>
        <w:tab/>
        <w:t>David talks about how we cannot understan</w:t>
      </w:r>
      <w:r w:rsidR="00626CFE">
        <w:rPr>
          <w:rFonts w:ascii="Times New Roman" w:hAnsi="Times New Roman" w:cs="Times New Roman"/>
          <w:sz w:val="24"/>
          <w:szCs w:val="24"/>
        </w:rPr>
        <w:t>d</w:t>
      </w:r>
      <w:r>
        <w:rPr>
          <w:rFonts w:ascii="Times New Roman" w:hAnsi="Times New Roman" w:cs="Times New Roman"/>
          <w:sz w:val="24"/>
          <w:szCs w:val="24"/>
        </w:rPr>
        <w:t xml:space="preserve"> the Ethiopian Jews</w:t>
      </w:r>
      <w:r w:rsidR="00626CFE">
        <w:rPr>
          <w:rFonts w:ascii="Times New Roman" w:hAnsi="Times New Roman" w:cs="Times New Roman"/>
          <w:sz w:val="24"/>
          <w:szCs w:val="24"/>
        </w:rPr>
        <w:t xml:space="preserve"> and they too, cannot gain familiarity with their surroundings if the academic literature that revolves around them is not credible</w:t>
      </w:r>
      <w:r w:rsidR="00626CFE">
        <w:rPr>
          <w:rStyle w:val="EndnoteReference"/>
          <w:rFonts w:ascii="Times New Roman" w:hAnsi="Times New Roman" w:cs="Times New Roman"/>
          <w:sz w:val="24"/>
          <w:szCs w:val="24"/>
        </w:rPr>
        <w:endnoteReference w:id="1"/>
      </w:r>
      <w:r w:rsidR="00626CFE">
        <w:rPr>
          <w:rFonts w:ascii="Times New Roman" w:hAnsi="Times New Roman" w:cs="Times New Roman"/>
          <w:sz w:val="24"/>
          <w:szCs w:val="24"/>
        </w:rPr>
        <w:t xml:space="preserve">. He also notes that Egypt had a significant influence on the horn of Africa, where the Falasha’s originated. David also notes several scholars who criticized him for missing some key points in his book, such as Professor Simon Hopkins from the University of Cape town. David also </w:t>
      </w:r>
      <w:r w:rsidR="002B73DF">
        <w:rPr>
          <w:rFonts w:ascii="Times New Roman" w:hAnsi="Times New Roman" w:cs="Times New Roman"/>
          <w:sz w:val="24"/>
          <w:szCs w:val="24"/>
        </w:rPr>
        <w:t>traces the origin of the Falasha community and religion. He notes the significant impact Christianity had on them, but there are still individuals who question such a relation.</w:t>
      </w:r>
      <w:r w:rsidR="0024206C">
        <w:rPr>
          <w:rFonts w:ascii="Times New Roman" w:hAnsi="Times New Roman" w:cs="Times New Roman"/>
          <w:sz w:val="24"/>
          <w:szCs w:val="24"/>
        </w:rPr>
        <w:t xml:space="preserve"> He proves so by stating the origin of this association to the story of Abba Saga, who was King </w:t>
      </w:r>
      <w:proofErr w:type="spellStart"/>
      <w:r w:rsidR="0024206C">
        <w:rPr>
          <w:rFonts w:ascii="Times New Roman" w:hAnsi="Times New Roman" w:cs="Times New Roman"/>
          <w:sz w:val="24"/>
          <w:szCs w:val="24"/>
        </w:rPr>
        <w:t>Zar’a</w:t>
      </w:r>
      <w:proofErr w:type="spellEnd"/>
      <w:r w:rsidR="0024206C">
        <w:rPr>
          <w:rFonts w:ascii="Times New Roman" w:hAnsi="Times New Roman" w:cs="Times New Roman"/>
          <w:sz w:val="24"/>
          <w:szCs w:val="24"/>
        </w:rPr>
        <w:t xml:space="preserve"> </w:t>
      </w:r>
      <w:proofErr w:type="spellStart"/>
      <w:r w:rsidR="0024206C">
        <w:rPr>
          <w:rFonts w:ascii="Times New Roman" w:hAnsi="Times New Roman" w:cs="Times New Roman"/>
          <w:sz w:val="24"/>
          <w:szCs w:val="24"/>
        </w:rPr>
        <w:t>Ya’qob’s</w:t>
      </w:r>
      <w:proofErr w:type="spellEnd"/>
      <w:r w:rsidR="0024206C">
        <w:rPr>
          <w:rFonts w:ascii="Times New Roman" w:hAnsi="Times New Roman" w:cs="Times New Roman"/>
          <w:sz w:val="24"/>
          <w:szCs w:val="24"/>
        </w:rPr>
        <w:t xml:space="preserve"> son. David also speaks of Operation Moses, which led to an airlift of over 7000 Ethiopian Jews to Israel. Then American President, George Bush Sr, </w:t>
      </w:r>
      <w:r w:rsidR="00730434">
        <w:rPr>
          <w:rFonts w:ascii="Times New Roman" w:hAnsi="Times New Roman" w:cs="Times New Roman"/>
          <w:sz w:val="24"/>
          <w:szCs w:val="24"/>
        </w:rPr>
        <w:t xml:space="preserve">later </w:t>
      </w:r>
      <w:r w:rsidR="0024206C">
        <w:rPr>
          <w:rFonts w:ascii="Times New Roman" w:hAnsi="Times New Roman" w:cs="Times New Roman"/>
          <w:sz w:val="24"/>
          <w:szCs w:val="24"/>
        </w:rPr>
        <w:t xml:space="preserve">sanctioned Operation Sheba that transferred 500 Falasha’s who were left behind by the initial operation.  David also talks about how Israel took advantage of </w:t>
      </w:r>
      <w:r w:rsidR="00730434">
        <w:rPr>
          <w:rFonts w:ascii="Times New Roman" w:hAnsi="Times New Roman" w:cs="Times New Roman"/>
          <w:sz w:val="24"/>
          <w:szCs w:val="24"/>
        </w:rPr>
        <w:t>negotiations between itself and a falling Ethiopian leader, Haile Mariam to move any Ethiopian Jews (</w:t>
      </w:r>
      <w:r w:rsidR="00F074E8">
        <w:rPr>
          <w:rFonts w:ascii="Times New Roman" w:hAnsi="Times New Roman" w:cs="Times New Roman"/>
          <w:sz w:val="24"/>
          <w:szCs w:val="24"/>
        </w:rPr>
        <w:t>Falasha’s</w:t>
      </w:r>
      <w:r w:rsidR="00730434">
        <w:rPr>
          <w:rFonts w:ascii="Times New Roman" w:hAnsi="Times New Roman" w:cs="Times New Roman"/>
          <w:sz w:val="24"/>
          <w:szCs w:val="24"/>
        </w:rPr>
        <w:t xml:space="preserve">) from </w:t>
      </w:r>
      <w:r w:rsidR="00F074E8">
        <w:rPr>
          <w:rFonts w:ascii="Times New Roman" w:hAnsi="Times New Roman" w:cs="Times New Roman"/>
          <w:sz w:val="24"/>
          <w:szCs w:val="24"/>
        </w:rPr>
        <w:t xml:space="preserve">left in the </w:t>
      </w:r>
      <w:r w:rsidR="00730434">
        <w:rPr>
          <w:rFonts w:ascii="Times New Roman" w:hAnsi="Times New Roman" w:cs="Times New Roman"/>
          <w:sz w:val="24"/>
          <w:szCs w:val="24"/>
        </w:rPr>
        <w:t xml:space="preserve">country to Israel.                                                                                                                                          </w:t>
      </w:r>
    </w:p>
    <w:sectPr w:rsidR="00730434" w:rsidRPr="00C336CE">
      <w:head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73D8E" w14:textId="77777777" w:rsidR="0072000E" w:rsidRDefault="0072000E" w:rsidP="00CD27CF">
      <w:pPr>
        <w:spacing w:after="0" w:line="240" w:lineRule="auto"/>
      </w:pPr>
      <w:r>
        <w:separator/>
      </w:r>
    </w:p>
  </w:endnote>
  <w:endnote w:type="continuationSeparator" w:id="0">
    <w:p w14:paraId="1F416EF2" w14:textId="77777777" w:rsidR="0072000E" w:rsidRDefault="0072000E" w:rsidP="00CD27CF">
      <w:pPr>
        <w:spacing w:after="0" w:line="240" w:lineRule="auto"/>
      </w:pPr>
      <w:r>
        <w:continuationSeparator/>
      </w:r>
    </w:p>
  </w:endnote>
  <w:endnote w:id="1">
    <w:p w14:paraId="4691C89A" w14:textId="0E6CE738" w:rsidR="007B1E8E" w:rsidRDefault="00E222A9" w:rsidP="007B1E8E">
      <w:pPr>
        <w:pStyle w:val="EndnoteText"/>
        <w:keepLines/>
        <w:contextualSpacing/>
        <w:rPr>
          <w:rFonts w:cs="Times New Roman"/>
          <w:szCs w:val="24"/>
        </w:rPr>
      </w:pPr>
      <w:r>
        <w:rPr>
          <w:rStyle w:val="EndnoteReference"/>
        </w:rPr>
        <w:endnoteRef/>
      </w:r>
      <w:r w:rsidR="002B73DF">
        <w:t xml:space="preserve"> </w:t>
      </w:r>
      <w:r w:rsidR="00730434" w:rsidRPr="00730434">
        <w:rPr>
          <w:rFonts w:cs="Times New Roman"/>
          <w:szCs w:val="24"/>
        </w:rPr>
        <w:t xml:space="preserve">David Kesler, </w:t>
      </w:r>
      <w:r w:rsidR="00730434" w:rsidRPr="00730434">
        <w:rPr>
          <w:rFonts w:cs="Times New Roman"/>
          <w:i/>
          <w:iCs/>
          <w:szCs w:val="24"/>
        </w:rPr>
        <w:t>The Falashas: A Short History of the Ethiopian Jews</w:t>
      </w:r>
      <w:r w:rsidR="00730434">
        <w:rPr>
          <w:rFonts w:cs="Times New Roman"/>
          <w:i/>
          <w:iCs/>
          <w:szCs w:val="24"/>
        </w:rPr>
        <w:t>.</w:t>
      </w:r>
      <w:r w:rsidR="00730434">
        <w:rPr>
          <w:rFonts w:cs="Times New Roman"/>
          <w:szCs w:val="24"/>
        </w:rPr>
        <w:t xml:space="preserve"> Psychology Press.</w:t>
      </w:r>
      <w:r w:rsidR="00D410C4">
        <w:rPr>
          <w:rFonts w:cs="Times New Roman"/>
          <w:szCs w:val="24"/>
        </w:rPr>
        <w:t xml:space="preserve">      </w:t>
      </w:r>
      <w:r w:rsidR="00F074E8">
        <w:rPr>
          <w:rFonts w:cs="Times New Roman"/>
          <w:szCs w:val="24"/>
        </w:rPr>
        <w:t xml:space="preserve">  </w:t>
      </w:r>
    </w:p>
    <w:p w14:paraId="02EF0DD7" w14:textId="27F290F4" w:rsidR="007B1E8E" w:rsidRDefault="007B1E8E" w:rsidP="007B1E8E">
      <w:pPr>
        <w:pStyle w:val="EndnoteText"/>
        <w:keepLines/>
        <w:rPr>
          <w:rFonts w:cs="Times New Roman"/>
          <w:szCs w:val="24"/>
        </w:rPr>
      </w:pPr>
    </w:p>
    <w:p w14:paraId="1FAF9BB0" w14:textId="2EF47E83" w:rsidR="007B1E8E" w:rsidRDefault="007B1E8E" w:rsidP="007B1E8E">
      <w:pPr>
        <w:pStyle w:val="EndnoteText"/>
        <w:keepLines/>
        <w:rPr>
          <w:rFonts w:cs="Times New Roman"/>
          <w:szCs w:val="24"/>
        </w:rPr>
      </w:pPr>
    </w:p>
    <w:p w14:paraId="74A63DAE" w14:textId="2899311A" w:rsidR="007B1E8E" w:rsidRDefault="007B1E8E" w:rsidP="007B1E8E">
      <w:pPr>
        <w:pStyle w:val="EndnoteText"/>
        <w:keepLines/>
        <w:rPr>
          <w:rFonts w:cs="Times New Roman"/>
          <w:szCs w:val="24"/>
        </w:rPr>
      </w:pPr>
    </w:p>
    <w:p w14:paraId="17FD73B6" w14:textId="714CC89C" w:rsidR="007B1E8E" w:rsidRDefault="007B1E8E" w:rsidP="007B1E8E">
      <w:pPr>
        <w:pStyle w:val="EndnoteText"/>
        <w:keepLines/>
        <w:rPr>
          <w:rFonts w:cs="Times New Roman"/>
          <w:szCs w:val="24"/>
        </w:rPr>
      </w:pPr>
    </w:p>
    <w:p w14:paraId="29B8EB0E" w14:textId="361E3E98" w:rsidR="007B1E8E" w:rsidRDefault="007B1E8E" w:rsidP="007B1E8E">
      <w:pPr>
        <w:pStyle w:val="EndnoteText"/>
        <w:keepLines/>
        <w:rPr>
          <w:rFonts w:cs="Times New Roman"/>
          <w:szCs w:val="24"/>
        </w:rPr>
      </w:pPr>
    </w:p>
    <w:p w14:paraId="41542423" w14:textId="77777777" w:rsidR="007B1E8E" w:rsidRPr="007B1E8E" w:rsidRDefault="007B1E8E" w:rsidP="007B1E8E">
      <w:pPr>
        <w:pStyle w:val="EndnoteText"/>
        <w:keepLines/>
        <w:rPr>
          <w:rFonts w:cs="Times New Roman"/>
          <w:szCs w:val="24"/>
        </w:rPr>
      </w:pPr>
    </w:p>
    <w:p w14:paraId="074CBE9A" w14:textId="7E7E11E8" w:rsidR="00E2378D" w:rsidRDefault="00E2378D" w:rsidP="000D3ECD">
      <w:pPr>
        <w:pStyle w:val="EndnoteText"/>
        <w:spacing w:line="480" w:lineRule="auto"/>
      </w:pPr>
    </w:p>
    <w:p w14:paraId="6063C688" w14:textId="16B6A2FE" w:rsidR="007B1E8E" w:rsidRPr="007B1E8E" w:rsidRDefault="00E2378D" w:rsidP="007B1E8E">
      <w:pPr>
        <w:pStyle w:val="EndnoteText"/>
        <w:widowControl w:val="0"/>
        <w:spacing w:line="480" w:lineRule="auto"/>
        <w:rPr>
          <w:rFonts w:cs="Times New Roman"/>
          <w:szCs w:val="24"/>
        </w:rPr>
      </w:pPr>
      <w:r>
        <w:rPr>
          <w:rFonts w:cs="Times New Roman"/>
          <w:szCs w:val="24"/>
        </w:rPr>
        <w:t xml:space="preserve">          </w:t>
      </w:r>
      <w:r w:rsidR="007B1E8E" w:rsidRPr="007B1E8E">
        <w:rPr>
          <w:rFonts w:cs="Times New Roman"/>
          <w:szCs w:val="24"/>
        </w:rPr>
        <w:t xml:space="preserve">Most of David’s sources involve authors who studied the Ethiopian Jews before him. He seeks to correct the misconceptions they imposed; therefore, David must quote several authors. David’s book is quite essential in that, it tries to explain the origin of the Falasha’s since there is very little scholarly work on this community. The Falasha’s are a little-known community, and his book is a great step in learning about them and their history.             </w:t>
      </w:r>
    </w:p>
    <w:p w14:paraId="6EC4402C" w14:textId="77777777" w:rsidR="007B1E8E" w:rsidRPr="007B1E8E" w:rsidRDefault="007B1E8E" w:rsidP="007B1E8E">
      <w:pPr>
        <w:pStyle w:val="EndnoteText"/>
        <w:widowControl w:val="0"/>
        <w:spacing w:line="480" w:lineRule="auto"/>
        <w:rPr>
          <w:rFonts w:cs="Times New Roman"/>
          <w:b/>
          <w:bCs/>
          <w:szCs w:val="24"/>
        </w:rPr>
      </w:pPr>
      <w:r w:rsidRPr="007B1E8E">
        <w:rPr>
          <w:rFonts w:cs="Times New Roman"/>
          <w:b/>
          <w:bCs/>
          <w:szCs w:val="24"/>
        </w:rPr>
        <w:t xml:space="preserve">                The Hyena People: Ethiopian Jews in Christian Ethiopia-Hagar </w:t>
      </w:r>
      <w:proofErr w:type="spellStart"/>
      <w:r w:rsidRPr="007B1E8E">
        <w:rPr>
          <w:rFonts w:cs="Times New Roman"/>
          <w:b/>
          <w:bCs/>
          <w:szCs w:val="24"/>
        </w:rPr>
        <w:t>Salamon</w:t>
      </w:r>
      <w:proofErr w:type="spellEnd"/>
      <w:r w:rsidRPr="007B1E8E">
        <w:rPr>
          <w:rFonts w:cs="Times New Roman"/>
          <w:b/>
          <w:bCs/>
          <w:szCs w:val="24"/>
        </w:rPr>
        <w:t xml:space="preserve">                                 </w:t>
      </w:r>
    </w:p>
    <w:p w14:paraId="79DEBFFB" w14:textId="77777777" w:rsidR="007B1E8E" w:rsidRPr="007B1E8E" w:rsidRDefault="007B1E8E" w:rsidP="007B1E8E">
      <w:pPr>
        <w:pStyle w:val="EndnoteText"/>
        <w:widowControl w:val="0"/>
        <w:spacing w:line="480" w:lineRule="auto"/>
        <w:rPr>
          <w:rFonts w:cs="Times New Roman"/>
          <w:szCs w:val="24"/>
        </w:rPr>
      </w:pPr>
      <w:r w:rsidRPr="007B1E8E">
        <w:rPr>
          <w:rFonts w:cs="Times New Roman"/>
          <w:szCs w:val="24"/>
        </w:rPr>
        <w:tab/>
        <w:t xml:space="preserve">Salomon takes us through his book from her individual experience while working as a lecturer in Hebrew University. She focuses on dialogues encountered with the Ethiopian Jews living in Israel, seeking to inform the reader of how it feels to be a member of this community in Israel.  </w:t>
      </w:r>
    </w:p>
    <w:p w14:paraId="5095DAF4" w14:textId="30DC4484" w:rsidR="000A2691" w:rsidRDefault="007B1E8E" w:rsidP="007B1E8E">
      <w:pPr>
        <w:pStyle w:val="EndnoteText"/>
        <w:widowControl w:val="0"/>
        <w:spacing w:line="480" w:lineRule="auto"/>
        <w:rPr>
          <w:rFonts w:cs="Times New Roman"/>
          <w:szCs w:val="24"/>
        </w:rPr>
      </w:pPr>
      <w:r w:rsidRPr="007B1E8E">
        <w:rPr>
          <w:rFonts w:cs="Times New Roman"/>
          <w:szCs w:val="24"/>
        </w:rPr>
        <w:tab/>
        <w:t xml:space="preserve">Hagar informs the reader of how excluded the Ethiopian Jews were from the rest of Christian Ethiopia. She however, acknowledges the relation of this community’s culture to Christianity. Hagar states that when the Falasha’s got to Israel, the Jewish authorities questioned their membership to their community. She notes that there was very little contact between her and the Ethiopian Jews in Israel since it was difficult, and she mostly dealt with the authorities. Beta Israel were not distinguished from their Christian neighbors by any physical, visual, or linguistic differences and would seem to have belonged to a single group. According to Hagar, any physical contact between Jews and Christians was forbidden in Israel, out of magical curses. They also had different opinions on their routines, and economic activities were undertaken according to one’s hierarchy in the community. </w:t>
      </w:r>
    </w:p>
    <w:p w14:paraId="0D3D5785" w14:textId="05533B73" w:rsidR="00CD16E5" w:rsidRDefault="00CD16E5" w:rsidP="007B1E8E">
      <w:pPr>
        <w:pStyle w:val="EndnoteText"/>
        <w:widowControl w:val="0"/>
        <w:spacing w:line="480" w:lineRule="auto"/>
        <w:rPr>
          <w:rFonts w:cs="Times New Roman"/>
          <w:szCs w:val="24"/>
        </w:rPr>
      </w:pPr>
    </w:p>
    <w:p w14:paraId="1E74323F" w14:textId="77777777" w:rsidR="00CD16E5" w:rsidRPr="00CD16E5" w:rsidRDefault="00CD16E5" w:rsidP="00CD16E5">
      <w:pPr>
        <w:pStyle w:val="EndnoteText"/>
        <w:widowControl w:val="0"/>
        <w:spacing w:line="480" w:lineRule="auto"/>
        <w:rPr>
          <w:rFonts w:cs="Times New Roman"/>
          <w:szCs w:val="24"/>
        </w:rPr>
      </w:pPr>
      <w:r w:rsidRPr="007211B8">
        <w:rPr>
          <w:rFonts w:cs="Times New Roman"/>
          <w:szCs w:val="24"/>
          <w:highlight w:val="yellow"/>
        </w:rPr>
        <w:t>Leeman, B. (1994). The Queen of Sheba and Africa: A Re-Assessment of the Sheba-Menelik Cycle Narrative of the Kebra Nagast in the Light of the Salibi Hypothesis.</w:t>
      </w:r>
    </w:p>
    <w:p w14:paraId="6AB84D03"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Although there exist several theories explaining the existence of the Falashas, the article explores their origin and history concerning Menelik 1, the son of King Solomon and Queen Sheba. Additionally, they exhibit a relationship with the Agaw tribe both in terms of linguistics and physicality. According to the book, Falashas form part of the native Jewish community in Ethiopia. The name Falashas translated to mean stranger or exile primarily points out to the nature of lives led by Falashas. The persecution of Falashas began after the ousting of Emperor Haile Selassie 1, where approximately twelve thousand Falashas were deported to Israel. Also, their resistance to the oppression had most of them lose their lands and became peasants working for wealthy Christians and other members of the Ethiopian community. In 1990, about 3500 of them migrated to Israel and another 14000 evacuated from Ethiopia by the Israeli government in May 1991.</w:t>
      </w:r>
    </w:p>
    <w:p w14:paraId="3B6F59C9"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The Falashas also consider themselves descendants of King Solomon through Menelik 1, who resettled in Ethiopia after returning to his father in Jerusalem. Although there are no recordings of any contact between King Solomon and Queen Sheba, the Falashas relate her to the dark and lovely woman in the songs of Solomon. She ruled in Kush and exchanged loyal gifts interpreted by the same people as sexual contact. Thus, the interpretation of the giving birth of the Falashas through Menelik 1 their son. Their family fall under the Agaw family of Judaism from Saudi Arabia and the tribe of Dan under exile in Cush since 722 BCE. They regard themselves as Beta Esrael translated to the House of Israel. This history is essential in developing a knowledge base on the origin, existence and history of Falashas, thus providing solid ground for the required information on their study.</w:t>
      </w:r>
    </w:p>
    <w:p w14:paraId="39D44ADD" w14:textId="77777777" w:rsidR="00CD16E5" w:rsidRPr="00CD16E5" w:rsidRDefault="00CD16E5" w:rsidP="00CD16E5">
      <w:pPr>
        <w:pStyle w:val="EndnoteText"/>
        <w:widowControl w:val="0"/>
        <w:spacing w:line="480" w:lineRule="auto"/>
        <w:rPr>
          <w:rFonts w:cs="Times New Roman"/>
          <w:szCs w:val="24"/>
        </w:rPr>
      </w:pPr>
    </w:p>
    <w:p w14:paraId="2048C7C5" w14:textId="77777777" w:rsidR="00CD16E5" w:rsidRPr="00CD16E5" w:rsidRDefault="00CD16E5" w:rsidP="00CD16E5">
      <w:pPr>
        <w:pStyle w:val="EndnoteText"/>
        <w:widowControl w:val="0"/>
        <w:spacing w:line="480" w:lineRule="auto"/>
        <w:rPr>
          <w:rFonts w:cs="Times New Roman"/>
          <w:szCs w:val="24"/>
        </w:rPr>
      </w:pPr>
      <w:proofErr w:type="spellStart"/>
      <w:r w:rsidRPr="007211B8">
        <w:rPr>
          <w:rFonts w:cs="Times New Roman"/>
          <w:szCs w:val="24"/>
          <w:highlight w:val="yellow"/>
        </w:rPr>
        <w:t>Abbink</w:t>
      </w:r>
      <w:proofErr w:type="spellEnd"/>
      <w:r w:rsidRPr="007211B8">
        <w:rPr>
          <w:rFonts w:cs="Times New Roman"/>
          <w:szCs w:val="24"/>
          <w:highlight w:val="yellow"/>
        </w:rPr>
        <w:t>, J. (1984). The changing identity of Ethiopian immigrants (Falashas) in Israel.</w:t>
      </w:r>
      <w:r w:rsidRPr="00CD16E5">
        <w:rPr>
          <w:rFonts w:cs="Times New Roman"/>
          <w:szCs w:val="24"/>
        </w:rPr>
        <w:t xml:space="preserve"> Anthropological Quarterly, 139-153.</w:t>
      </w:r>
    </w:p>
    <w:p w14:paraId="23248EFC"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The author explores the changes in identities of the Falasha, Ethiopian immigrants in Israel. The article explores their developing cultural identity and integration into the Israeli community. Currently, there exist about 5500 people belonging to the Falasha ethnic group, with a 95% migrating within the previous four years through undisclosed routes. Their history points out to a separate early Judaic group not considered a part of the Jewish community. The Falashas lived in poverty as peasants, low-class weavers and illiterate. They, however, exhibited resemblance to the Ethiopians they lived amongst. The acceptance of the Falasha into the Jewish community altered their way of life and gave them some form of identity.</w:t>
      </w:r>
    </w:p>
    <w:p w14:paraId="4C8E18C9"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 xml:space="preserve">The Falashas adopted the cultures and traditions of the native Israeli after their adoption into the Jewry. Out of their desires to appear as Israeli, the Falashas take a public identity urge and a raised level of self-esteem and worth that act to stamp their sense of belonging in the Israeli community. These immigrants in Israeli exhibit family structures and settings that are characteristic of their country of origin. However, they exhibit nostalgic emotions relating to foods, music and flavour of life in Ethiopia. Some of their social and lifestyle changes fall more on the negatives than positives. For example, a decline in religious strictness and loss of their most unique prayers in the world is something they wish they still had.  Thus, the Falashas have experienced significant cultural changes that have shaped a blend of acquired and native culture to form a new cultural identity. The knowledge of changes and modifications in their way of life contributes to the knowledge base concerning the Falashas. </w:t>
      </w:r>
    </w:p>
    <w:p w14:paraId="0259BC8D" w14:textId="77777777" w:rsidR="00CD16E5" w:rsidRPr="00CD16E5" w:rsidRDefault="00CD16E5" w:rsidP="00CD16E5">
      <w:pPr>
        <w:pStyle w:val="EndnoteText"/>
        <w:widowControl w:val="0"/>
        <w:spacing w:line="480" w:lineRule="auto"/>
        <w:ind w:firstLine="720"/>
        <w:rPr>
          <w:rFonts w:cs="Times New Roman"/>
          <w:szCs w:val="24"/>
        </w:rPr>
      </w:pPr>
      <w:r w:rsidRPr="007211B8">
        <w:rPr>
          <w:rFonts w:cs="Times New Roman"/>
          <w:szCs w:val="24"/>
          <w:highlight w:val="yellow"/>
        </w:rPr>
        <w:t xml:space="preserve">Kaplan, S. (1988). " Falasha" Religion: Ancient Judaism or Evolving Ethiopian </w:t>
      </w:r>
      <w:proofErr w:type="gramStart"/>
      <w:r w:rsidRPr="007211B8">
        <w:rPr>
          <w:rFonts w:cs="Times New Roman"/>
          <w:szCs w:val="24"/>
          <w:highlight w:val="yellow"/>
        </w:rPr>
        <w:t>Tradition?.</w:t>
      </w:r>
      <w:proofErr w:type="gramEnd"/>
    </w:p>
    <w:p w14:paraId="4336398D" w14:textId="77777777" w:rsidR="00CD16E5" w:rsidRDefault="00CD16E5" w:rsidP="00CD16E5">
      <w:pPr>
        <w:pStyle w:val="EndnoteText"/>
        <w:widowControl w:val="0"/>
        <w:spacing w:line="480" w:lineRule="auto"/>
        <w:rPr>
          <w:rFonts w:cs="Times New Roman"/>
          <w:szCs w:val="24"/>
        </w:rPr>
      </w:pPr>
    </w:p>
    <w:p w14:paraId="47A3256B" w14:textId="6166E398"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 xml:space="preserve">The authors explore the religion of the Falasha. Theirs is a modification of mosaic Judaism that remained unaffected by the after biblical developments. According to the authors, the Falashas still maintain animal sacrifices in their religious undertakings and also observe both non-scriptural and scriptural celebrations. For instance, the Falashas commemorate Abraham, which is a non-scriptural celebration. Apart from their feats and fats, they also observe major Jewish holidays. The Falashas also follow strict dietary restrictions of the mosaic law but not rabbinic rules. They do not allow polygamy and early marriages are uncommon. Again, any marriages out of the religious society go against what is permitted. </w:t>
      </w:r>
    </w:p>
    <w:p w14:paraId="58DF5C8E"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The Falashas observe and carry out their worship in synagogues that involve reciting prayers and reading the laws of Torah. The high priest is the chief religious leader in every Falasha village assisted by low ranking priests. The priests must not be descendants of Aaron according to the religion of the Falashas and are appointees from the community. Rabbis are nonexistent, and monks live among the people as opposed to having their secluded places such as monasteries.</w:t>
      </w:r>
    </w:p>
    <w:p w14:paraId="0BEE8689" w14:textId="124AAF51" w:rsidR="00CD16E5" w:rsidRDefault="00CD16E5" w:rsidP="00CD16E5">
      <w:pPr>
        <w:pStyle w:val="EndnoteText"/>
        <w:widowControl w:val="0"/>
        <w:spacing w:line="480" w:lineRule="auto"/>
        <w:ind w:firstLine="720"/>
        <w:rPr>
          <w:rFonts w:cs="Times New Roman"/>
          <w:szCs w:val="24"/>
        </w:rPr>
      </w:pPr>
      <w:r w:rsidRPr="00CD16E5">
        <w:rPr>
          <w:rFonts w:cs="Times New Roman"/>
          <w:szCs w:val="24"/>
        </w:rPr>
        <w:t xml:space="preserve">Generally, the Falashas consider themselves descendants of Menelik, king Solomon and queen Sheba’s son.  Their family falls under the Agau family of Judaism from Saudi Arabia. They regard themselves as Beta Esrael translated to the House of Israel. The Falashas circumcise their sons on the eighth day and observe the feast of unleavened bread when the Passover season comes. However, their religious statues build actively in the Old Testament. Every tenth day of the month calls for fasting. It is as an observation of the atonement day and on the twelfth day of the month calls for honouring of angel Michael. This information plays a significant role in developing a knowledge base on the religious nature of the Falashas. </w:t>
      </w:r>
    </w:p>
    <w:p w14:paraId="563468C7" w14:textId="77777777" w:rsidR="00CD16E5" w:rsidRPr="00CD16E5" w:rsidRDefault="00CD16E5" w:rsidP="00CD16E5">
      <w:pPr>
        <w:pStyle w:val="EndnoteText"/>
        <w:widowControl w:val="0"/>
        <w:spacing w:line="480" w:lineRule="auto"/>
        <w:ind w:firstLine="720"/>
        <w:rPr>
          <w:rFonts w:cs="Times New Roman"/>
          <w:szCs w:val="24"/>
        </w:rPr>
      </w:pPr>
    </w:p>
    <w:p w14:paraId="58ABEC2B" w14:textId="77777777" w:rsidR="00CD16E5" w:rsidRPr="00CD16E5" w:rsidRDefault="00CD16E5" w:rsidP="00CD16E5">
      <w:pPr>
        <w:pStyle w:val="EndnoteText"/>
        <w:widowControl w:val="0"/>
        <w:spacing w:line="480" w:lineRule="auto"/>
        <w:rPr>
          <w:rFonts w:cs="Times New Roman"/>
          <w:szCs w:val="24"/>
        </w:rPr>
      </w:pPr>
      <w:proofErr w:type="spellStart"/>
      <w:r w:rsidRPr="007211B8">
        <w:rPr>
          <w:rFonts w:cs="Times New Roman"/>
          <w:szCs w:val="24"/>
          <w:highlight w:val="yellow"/>
        </w:rPr>
        <w:t>Flad</w:t>
      </w:r>
      <w:proofErr w:type="spellEnd"/>
      <w:r w:rsidRPr="007211B8">
        <w:rPr>
          <w:rFonts w:cs="Times New Roman"/>
          <w:szCs w:val="24"/>
          <w:highlight w:val="yellow"/>
        </w:rPr>
        <w:t>, J. M. (1869). The Falashas (Jews) of Abyssinia. W. Macintosh.</w:t>
      </w:r>
      <w:bookmarkStart w:id="0" w:name="_GoBack"/>
      <w:bookmarkEnd w:id="0"/>
    </w:p>
    <w:p w14:paraId="56900284"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The book explores the lives of Falashas in terms of leadership and customs, dressing and manners. To begin with, the Falashas have three classes of administration, including Debteras, Kohanim, and Nezirim. While the Kohanim live among other Falashas and receive ordaining from the Nezirim, the Debteras assist them in their works. Kohanim class have to marry but cannot remarry if their wives pass on and have the responsibility of slaughtering and receiving parts of offerings from the animals. On the other hand, Nezirim leaders live together in numbers separated for the Falashas community but receive visits from them. They do not consume food made by anybody else apart from one of their own.</w:t>
      </w:r>
    </w:p>
    <w:p w14:paraId="6DBD5412" w14:textId="77777777" w:rsidR="00CD16E5" w:rsidRPr="00CD16E5" w:rsidRDefault="00CD16E5" w:rsidP="00CD16E5">
      <w:pPr>
        <w:pStyle w:val="EndnoteText"/>
        <w:widowControl w:val="0"/>
        <w:spacing w:line="480" w:lineRule="auto"/>
        <w:ind w:firstLine="720"/>
        <w:rPr>
          <w:rFonts w:cs="Times New Roman"/>
          <w:szCs w:val="24"/>
        </w:rPr>
      </w:pPr>
      <w:r w:rsidRPr="00CD16E5">
        <w:rPr>
          <w:rFonts w:cs="Times New Roman"/>
          <w:szCs w:val="24"/>
        </w:rPr>
        <w:t>The dress code of the Falashas is the same as the Christian one. Their religious leaders do turbans resembling those of priests in the Christian faith while heir gala dresses are mainly Roman Togas. Falashas women are unveiled and do not have nose piercings. They wear long shifts with edges of varying colours, especially outdoors. The men do waist clothes reaching the knees or short trousers during working hours. The lame Falashas walk barefoot, do not have head turbans and often have a shaved head. Generally, women are equal to men with no separate abodes or concealing veils.</w:t>
      </w:r>
    </w:p>
    <w:p w14:paraId="651C4BBE" w14:textId="134F39BE" w:rsidR="00CD16E5" w:rsidRDefault="00CD16E5" w:rsidP="00CD16E5">
      <w:pPr>
        <w:pStyle w:val="EndnoteText"/>
        <w:widowControl w:val="0"/>
        <w:spacing w:line="480" w:lineRule="auto"/>
        <w:ind w:firstLine="720"/>
        <w:rPr>
          <w:rFonts w:cs="Times New Roman"/>
          <w:szCs w:val="24"/>
        </w:rPr>
      </w:pPr>
      <w:r w:rsidRPr="00CD16E5">
        <w:rPr>
          <w:rFonts w:cs="Times New Roman"/>
          <w:szCs w:val="24"/>
        </w:rPr>
        <w:t>The Falashas use Amharic as their primary language but use Agua in their homes. They rarely teach writing but often educate on reading sacred history and the bible. Also shown is the recitation of prayers. Their marriages are monogamous with rare cases of divorce. In case of a divorce, it happens as a public pronouncement and not writing since literacy levels among the Falashas are generally low. The Falashas do not consume raw meat, and their drink is majorly beer made from grains of Degussa or teff, which also is their primary food. These explain the social and political lives of the Falashas, thus promoting a comprehensive study of the ethnic group.</w:t>
      </w:r>
    </w:p>
    <w:p w14:paraId="5F718BF7" w14:textId="77777777" w:rsidR="000A2691" w:rsidRDefault="000A2691" w:rsidP="007B1E8E">
      <w:pPr>
        <w:pStyle w:val="EndnoteText"/>
        <w:widowControl w:val="0"/>
        <w:spacing w:line="480" w:lineRule="auto"/>
        <w:rPr>
          <w:rFonts w:cs="Times New Roman"/>
          <w:szCs w:val="24"/>
        </w:rPr>
      </w:pPr>
    </w:p>
    <w:p w14:paraId="45F92A29" w14:textId="77777777" w:rsidR="000A2691" w:rsidRDefault="000A2691" w:rsidP="007B1E8E">
      <w:pPr>
        <w:pStyle w:val="EndnoteText"/>
        <w:widowControl w:val="0"/>
        <w:spacing w:line="480" w:lineRule="auto"/>
        <w:rPr>
          <w:rFonts w:cs="Times New Roman"/>
          <w:szCs w:val="24"/>
        </w:rPr>
      </w:pPr>
    </w:p>
    <w:p w14:paraId="01C7BF45" w14:textId="02D3454F" w:rsidR="00E2378D" w:rsidRPr="00C36A02" w:rsidRDefault="00E2378D" w:rsidP="007B1E8E">
      <w:pPr>
        <w:pStyle w:val="EndnoteText"/>
        <w:widowControl w:val="0"/>
        <w:spacing w:line="480" w:lineRule="auto"/>
        <w:rPr>
          <w:rFonts w:cs="Times New Roman"/>
          <w:szCs w:val="24"/>
        </w:rPr>
      </w:pPr>
      <w:r>
        <w:rPr>
          <w:rFonts w:cs="Times New Roman"/>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95AB1" w14:textId="77777777" w:rsidR="0072000E" w:rsidRDefault="0072000E" w:rsidP="00CD27CF">
      <w:pPr>
        <w:spacing w:after="0" w:line="240" w:lineRule="auto"/>
      </w:pPr>
      <w:r>
        <w:separator/>
      </w:r>
    </w:p>
  </w:footnote>
  <w:footnote w:type="continuationSeparator" w:id="0">
    <w:p w14:paraId="01D82358" w14:textId="77777777" w:rsidR="0072000E" w:rsidRDefault="0072000E" w:rsidP="00CD2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9C8DE" w14:textId="3943D1DA" w:rsidR="002B73DF" w:rsidRPr="00CD27CF" w:rsidRDefault="002B73DF" w:rsidP="00CD27CF">
    <w:pPr>
      <w:pStyle w:val="Header"/>
      <w:jc w:val="right"/>
      <w:rPr>
        <w:rFonts w:ascii="Times New Roman" w:hAnsi="Times New Roman" w:cs="Times New Roman"/>
        <w:sz w:val="24"/>
        <w:szCs w:val="24"/>
      </w:rPr>
    </w:pPr>
    <w:r w:rsidRPr="00CD27CF">
      <w:rPr>
        <w:rFonts w:ascii="Times New Roman" w:hAnsi="Times New Roman" w:cs="Times New Roman"/>
        <w:sz w:val="24"/>
        <w:szCs w:val="24"/>
      </w:rPr>
      <w:t xml:space="preserve">Surname </w:t>
    </w:r>
    <w:r w:rsidRPr="00CD27CF">
      <w:rPr>
        <w:rFonts w:ascii="Times New Roman" w:hAnsi="Times New Roman" w:cs="Times New Roman"/>
        <w:sz w:val="24"/>
        <w:szCs w:val="24"/>
      </w:rPr>
      <w:fldChar w:fldCharType="begin"/>
    </w:r>
    <w:r w:rsidRPr="00CD27CF">
      <w:rPr>
        <w:rFonts w:ascii="Times New Roman" w:hAnsi="Times New Roman" w:cs="Times New Roman"/>
        <w:sz w:val="24"/>
        <w:szCs w:val="24"/>
      </w:rPr>
      <w:instrText xml:space="preserve"> PAGE   \* MERGEFORMAT </w:instrText>
    </w:r>
    <w:r w:rsidRPr="00CD27CF">
      <w:rPr>
        <w:rFonts w:ascii="Times New Roman" w:hAnsi="Times New Roman" w:cs="Times New Roman"/>
        <w:sz w:val="24"/>
        <w:szCs w:val="24"/>
      </w:rPr>
      <w:fldChar w:fldCharType="separate"/>
    </w:r>
    <w:r w:rsidRPr="00CD27CF">
      <w:rPr>
        <w:rFonts w:ascii="Times New Roman" w:hAnsi="Times New Roman" w:cs="Times New Roman"/>
        <w:noProof/>
        <w:sz w:val="24"/>
        <w:szCs w:val="24"/>
      </w:rPr>
      <w:t>1</w:t>
    </w:r>
    <w:r w:rsidRPr="00CD27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xtTAxMTc3NzW1NLRQ0lEKTi0uzszPAykwqgUAyFbwmywAAAA="/>
  </w:docVars>
  <w:rsids>
    <w:rsidRoot w:val="00CD27CF"/>
    <w:rsid w:val="0005735B"/>
    <w:rsid w:val="000A2691"/>
    <w:rsid w:val="000D3ECD"/>
    <w:rsid w:val="0024206C"/>
    <w:rsid w:val="00277170"/>
    <w:rsid w:val="002B73DF"/>
    <w:rsid w:val="002E5EA0"/>
    <w:rsid w:val="00460E6C"/>
    <w:rsid w:val="004B7928"/>
    <w:rsid w:val="00626CFE"/>
    <w:rsid w:val="0072000E"/>
    <w:rsid w:val="007211B8"/>
    <w:rsid w:val="00730434"/>
    <w:rsid w:val="007A1C7D"/>
    <w:rsid w:val="007B1E8E"/>
    <w:rsid w:val="009A6FA4"/>
    <w:rsid w:val="00AB0FC8"/>
    <w:rsid w:val="00BE67E7"/>
    <w:rsid w:val="00C00EE0"/>
    <w:rsid w:val="00C336CE"/>
    <w:rsid w:val="00C36A02"/>
    <w:rsid w:val="00CD16E5"/>
    <w:rsid w:val="00CD27CF"/>
    <w:rsid w:val="00D410C4"/>
    <w:rsid w:val="00DB28F0"/>
    <w:rsid w:val="00E222A9"/>
    <w:rsid w:val="00E2378D"/>
    <w:rsid w:val="00F0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7072D"/>
  <w15:chartTrackingRefBased/>
  <w15:docId w15:val="{FDCA696D-5FB0-412F-B343-0398C3B3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7CF"/>
  </w:style>
  <w:style w:type="paragraph" w:styleId="Footer">
    <w:name w:val="footer"/>
    <w:basedOn w:val="Normal"/>
    <w:link w:val="FooterChar"/>
    <w:uiPriority w:val="99"/>
    <w:unhideWhenUsed/>
    <w:rsid w:val="00CD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7CF"/>
  </w:style>
  <w:style w:type="paragraph" w:styleId="EndnoteText">
    <w:name w:val="endnote text"/>
    <w:basedOn w:val="Normal"/>
    <w:link w:val="EndnoteTextChar"/>
    <w:uiPriority w:val="99"/>
    <w:unhideWhenUsed/>
    <w:rsid w:val="00E222A9"/>
    <w:pPr>
      <w:spacing w:after="0" w:line="240" w:lineRule="auto"/>
    </w:pPr>
    <w:rPr>
      <w:rFonts w:ascii="Times New Roman" w:hAnsi="Times New Roman"/>
      <w:sz w:val="24"/>
      <w:szCs w:val="20"/>
    </w:rPr>
  </w:style>
  <w:style w:type="character" w:customStyle="1" w:styleId="EndnoteTextChar">
    <w:name w:val="Endnote Text Char"/>
    <w:basedOn w:val="DefaultParagraphFont"/>
    <w:link w:val="EndnoteText"/>
    <w:uiPriority w:val="99"/>
    <w:rsid w:val="00E222A9"/>
    <w:rPr>
      <w:rFonts w:ascii="Times New Roman" w:hAnsi="Times New Roman"/>
      <w:sz w:val="24"/>
      <w:szCs w:val="20"/>
    </w:rPr>
  </w:style>
  <w:style w:type="character" w:styleId="EndnoteReference">
    <w:name w:val="endnote reference"/>
    <w:basedOn w:val="DefaultParagraphFont"/>
    <w:uiPriority w:val="99"/>
    <w:semiHidden/>
    <w:unhideWhenUsed/>
    <w:rsid w:val="00626CFE"/>
    <w:rPr>
      <w:vertAlign w:val="superscript"/>
    </w:rPr>
  </w:style>
  <w:style w:type="paragraph" w:styleId="FootnoteText">
    <w:name w:val="footnote text"/>
    <w:basedOn w:val="Normal"/>
    <w:link w:val="FootnoteTextChar"/>
    <w:uiPriority w:val="99"/>
    <w:semiHidden/>
    <w:unhideWhenUsed/>
    <w:rsid w:val="007304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0434"/>
    <w:rPr>
      <w:sz w:val="20"/>
      <w:szCs w:val="20"/>
    </w:rPr>
  </w:style>
  <w:style w:type="character" w:styleId="FootnoteReference">
    <w:name w:val="footnote reference"/>
    <w:basedOn w:val="DefaultParagraphFont"/>
    <w:uiPriority w:val="99"/>
    <w:semiHidden/>
    <w:unhideWhenUsed/>
    <w:rsid w:val="007304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A986A45-865D-44EF-879B-14ACDB65C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cp:lastModifiedBy>
  <cp:revision>2</cp:revision>
  <dcterms:created xsi:type="dcterms:W3CDTF">2020-04-29T14:07:00Z</dcterms:created>
  <dcterms:modified xsi:type="dcterms:W3CDTF">2020-04-29T14:07:00Z</dcterms:modified>
</cp:coreProperties>
</file>